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5C" w:rsidRPr="000A3585" w:rsidRDefault="004116B9" w:rsidP="00A85C50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0A3585">
        <w:rPr>
          <w:b/>
          <w:noProof/>
          <w:color w:val="FFFFFF" w:themeColor="background1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E50E1" wp14:editId="7EF1BF9F">
                <wp:simplePos x="0" y="0"/>
                <wp:positionH relativeFrom="column">
                  <wp:posOffset>3409558</wp:posOffset>
                </wp:positionH>
                <wp:positionV relativeFrom="paragraph">
                  <wp:posOffset>-1517718</wp:posOffset>
                </wp:positionV>
                <wp:extent cx="2743200" cy="1031132"/>
                <wp:effectExtent l="0" t="0" r="1905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022" w:rsidRDefault="00B45022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116B9">
                              <w:rPr>
                                <w:sz w:val="30"/>
                                <w:szCs w:val="30"/>
                              </w:rPr>
                              <w:t>FLASH INFO : OFFRE DE BOURSE</w:t>
                            </w:r>
                          </w:p>
                          <w:p w:rsidR="00B45022" w:rsidRPr="004116B9" w:rsidRDefault="00B45022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Bourse de recherche</w:t>
                            </w:r>
                            <w:r w:rsidR="00D64B2C">
                              <w:rPr>
                                <w:sz w:val="30"/>
                                <w:szCs w:val="30"/>
                              </w:rPr>
                              <w:t xml:space="preserve"> ou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de spécialisation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8.45pt;margin-top:-119.5pt;width:3in;height:8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" fillcolor="white [3201]" strokeweight=".5pt">
                <v:textbox>
                  <w:txbxContent>
                    <w:p w:rsidR="00B45022" w:rsidRDefault="00B45022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116B9">
                        <w:rPr>
                          <w:sz w:val="30"/>
                          <w:szCs w:val="30"/>
                        </w:rPr>
                        <w:t>FLASH INFO : OFFRE DE BOURSE</w:t>
                      </w:r>
                    </w:p>
                    <w:p w:rsidR="00B45022" w:rsidRPr="004116B9" w:rsidRDefault="00B45022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Bourse de recherche</w:t>
                      </w:r>
                      <w:r w:rsidR="00D64B2C">
                        <w:rPr>
                          <w:sz w:val="30"/>
                          <w:szCs w:val="30"/>
                        </w:rPr>
                        <w:t xml:space="preserve"> ou</w:t>
                      </w:r>
                      <w:r>
                        <w:rPr>
                          <w:sz w:val="30"/>
                          <w:szCs w:val="30"/>
                        </w:rPr>
                        <w:t xml:space="preserve"> de spécialisation </w:t>
                      </w:r>
                    </w:p>
                  </w:txbxContent>
                </v:textbox>
              </v:shape>
            </w:pict>
          </mc:Fallback>
        </mc:AlternateContent>
      </w:r>
      <w:r w:rsidR="001A6F5C" w:rsidRPr="000A3585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Pays concerné(s) : </w:t>
      </w:r>
      <w:r w:rsidR="00160DBA">
        <w:rPr>
          <w:b/>
          <w:color w:val="FFFFFF" w:themeColor="background1"/>
          <w:sz w:val="28"/>
          <w:szCs w:val="28"/>
          <w:shd w:val="clear" w:color="auto" w:fill="000000" w:themeFill="text1"/>
        </w:rPr>
        <w:t>JAPON</w:t>
      </w:r>
    </w:p>
    <w:p w:rsidR="001A6F5C" w:rsidRPr="000A3585" w:rsidRDefault="001A6F5C" w:rsidP="00A85C50">
      <w:pPr>
        <w:shd w:val="clear" w:color="auto" w:fill="000000" w:themeFill="text1"/>
        <w:spacing w:after="0"/>
        <w:jc w:val="both"/>
        <w:rPr>
          <w:b/>
          <w:sz w:val="28"/>
          <w:szCs w:val="28"/>
        </w:rPr>
      </w:pPr>
      <w:r w:rsidRPr="000A3585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Nom du programme : </w:t>
      </w:r>
      <w:r w:rsidR="00160DBA">
        <w:rPr>
          <w:b/>
          <w:color w:val="FFFFFF" w:themeColor="background1"/>
          <w:sz w:val="28"/>
          <w:szCs w:val="28"/>
          <w:shd w:val="clear" w:color="auto" w:fill="000000" w:themeFill="text1"/>
        </w:rPr>
        <w:t>MEXT</w:t>
      </w:r>
    </w:p>
    <w:p w:rsidR="001A6F5C" w:rsidRDefault="001A6F5C" w:rsidP="00A85C50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46042E" w:rsidRDefault="0046042E" w:rsidP="00A85C50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46042E" w:rsidRPr="000A3585" w:rsidRDefault="0046042E" w:rsidP="00A85C50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0A3585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  <w:r w:rsidRPr="000A3585">
        <w:rPr>
          <w:rFonts w:cs="Tahoma"/>
          <w:b/>
          <w:sz w:val="24"/>
          <w:szCs w:val="24"/>
        </w:rPr>
        <w:t>Présentation générale du programme (description, objectifs,…) :</w:t>
      </w:r>
    </w:p>
    <w:p w:rsidR="0046042E" w:rsidRPr="000A3585" w:rsidRDefault="0046042E" w:rsidP="000A3585">
      <w:pPr>
        <w:spacing w:after="0"/>
        <w:jc w:val="both"/>
        <w:rPr>
          <w:rFonts w:cs="Tahoma"/>
          <w:b/>
          <w:sz w:val="24"/>
          <w:szCs w:val="24"/>
        </w:rPr>
      </w:pPr>
    </w:p>
    <w:p w:rsidR="000A3585" w:rsidRPr="000A3585" w:rsidRDefault="00160DBA" w:rsidP="000A3585">
      <w:pPr>
        <w:spacing w:after="0"/>
        <w:jc w:val="both"/>
        <w:rPr>
          <w:rFonts w:cs="Tahoma"/>
          <w:szCs w:val="24"/>
        </w:rPr>
      </w:pPr>
      <w:r>
        <w:rPr>
          <w:rFonts w:cs="Tahoma"/>
          <w:szCs w:val="24"/>
        </w:rPr>
        <w:t>Le Ministère japonais de l’éducation, de la culture, des sports, des sciences et de la technologie (MEXT) octroie des bourses aux étudiants du monde entier qu</w:t>
      </w:r>
      <w:r w:rsidR="00B45022">
        <w:rPr>
          <w:rFonts w:cs="Tahoma"/>
          <w:szCs w:val="24"/>
        </w:rPr>
        <w:t>i souhaitent suivre un cursus de</w:t>
      </w:r>
      <w:r>
        <w:rPr>
          <w:rFonts w:cs="Tahoma"/>
          <w:szCs w:val="24"/>
        </w:rPr>
        <w:t xml:space="preserve"> deuxième et troisième cycle dans une université japonaise</w:t>
      </w:r>
      <w:r w:rsidR="00D64B2C">
        <w:rPr>
          <w:rFonts w:cs="Tahoma"/>
          <w:szCs w:val="24"/>
        </w:rPr>
        <w:t xml:space="preserve"> dans une </w:t>
      </w:r>
      <w:r w:rsidR="00A6159B">
        <w:rPr>
          <w:rFonts w:cs="Tahoma"/>
          <w:szCs w:val="24"/>
        </w:rPr>
        <w:t>optique diplômante ou non</w:t>
      </w:r>
      <w:r>
        <w:rPr>
          <w:rFonts w:cs="Tahoma"/>
          <w:szCs w:val="24"/>
        </w:rPr>
        <w:t>.</w:t>
      </w:r>
    </w:p>
    <w:p w:rsidR="000A3585" w:rsidRPr="000A3585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</w:p>
    <w:p w:rsidR="000A3585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  <w:r w:rsidRPr="000A3585">
        <w:rPr>
          <w:rFonts w:cs="Tahoma"/>
          <w:b/>
          <w:sz w:val="24"/>
          <w:szCs w:val="24"/>
        </w:rPr>
        <w:t>Profil des candidat(e)s :</w:t>
      </w:r>
    </w:p>
    <w:p w:rsidR="0046042E" w:rsidRPr="000A3585" w:rsidRDefault="0046042E" w:rsidP="000A3585">
      <w:pPr>
        <w:spacing w:after="0"/>
        <w:jc w:val="both"/>
        <w:rPr>
          <w:rFonts w:cs="Tahoma"/>
          <w:b/>
          <w:sz w:val="24"/>
          <w:szCs w:val="24"/>
        </w:rPr>
      </w:pPr>
    </w:p>
    <w:p w:rsidR="000A3585" w:rsidRDefault="000A3585" w:rsidP="000A3585">
      <w:pPr>
        <w:pStyle w:val="Paragraphedeliste"/>
        <w:numPr>
          <w:ilvl w:val="0"/>
          <w:numId w:val="3"/>
        </w:numPr>
        <w:spacing w:after="0"/>
        <w:jc w:val="both"/>
        <w:rPr>
          <w:rFonts w:cs="Tahoma"/>
          <w:szCs w:val="24"/>
        </w:rPr>
      </w:pPr>
      <w:r w:rsidRPr="000A3585">
        <w:rPr>
          <w:rFonts w:cs="Tahoma"/>
          <w:szCs w:val="24"/>
        </w:rPr>
        <w:t xml:space="preserve">Etudiants </w:t>
      </w:r>
      <w:r w:rsidR="007A39D7">
        <w:rPr>
          <w:rFonts w:cs="Tahoma"/>
          <w:szCs w:val="24"/>
        </w:rPr>
        <w:t>diplômés du premier cycle</w:t>
      </w:r>
    </w:p>
    <w:p w:rsidR="00160DBA" w:rsidRPr="000A3585" w:rsidRDefault="00160DBA" w:rsidP="000A3585">
      <w:pPr>
        <w:pStyle w:val="Paragraphedeliste"/>
        <w:numPr>
          <w:ilvl w:val="0"/>
          <w:numId w:val="3"/>
        </w:numPr>
        <w:spacing w:after="0"/>
        <w:jc w:val="both"/>
        <w:rPr>
          <w:rFonts w:cs="Tahoma"/>
          <w:szCs w:val="24"/>
        </w:rPr>
      </w:pPr>
      <w:r>
        <w:rPr>
          <w:rFonts w:cs="Tahoma"/>
          <w:szCs w:val="24"/>
        </w:rPr>
        <w:t>Etudiants en master</w:t>
      </w:r>
    </w:p>
    <w:p w:rsidR="000A3585" w:rsidRPr="000A3585" w:rsidRDefault="000A3585" w:rsidP="000A3585">
      <w:pPr>
        <w:pStyle w:val="Paragraphedeliste"/>
        <w:numPr>
          <w:ilvl w:val="0"/>
          <w:numId w:val="3"/>
        </w:numPr>
        <w:spacing w:after="0"/>
        <w:jc w:val="both"/>
        <w:rPr>
          <w:rFonts w:cs="Tahoma"/>
          <w:szCs w:val="24"/>
        </w:rPr>
      </w:pPr>
      <w:r w:rsidRPr="000A3585">
        <w:rPr>
          <w:rFonts w:cs="Tahoma"/>
          <w:szCs w:val="24"/>
        </w:rPr>
        <w:t xml:space="preserve">Doctorants </w:t>
      </w:r>
    </w:p>
    <w:p w:rsidR="000A3585" w:rsidRDefault="000A3585" w:rsidP="000A3585">
      <w:pPr>
        <w:pStyle w:val="Paragraphedeliste"/>
        <w:numPr>
          <w:ilvl w:val="0"/>
          <w:numId w:val="3"/>
        </w:numPr>
        <w:spacing w:after="0"/>
        <w:jc w:val="both"/>
        <w:rPr>
          <w:rFonts w:cs="Tahoma"/>
          <w:szCs w:val="24"/>
        </w:rPr>
      </w:pPr>
      <w:r w:rsidRPr="000A3585">
        <w:rPr>
          <w:rFonts w:cs="Tahoma"/>
          <w:szCs w:val="24"/>
        </w:rPr>
        <w:t>Chercheurs</w:t>
      </w:r>
      <w:r w:rsidR="007A39D7">
        <w:rPr>
          <w:rFonts w:cs="Tahoma"/>
          <w:szCs w:val="24"/>
        </w:rPr>
        <w:t xml:space="preserve"> libres</w:t>
      </w:r>
    </w:p>
    <w:p w:rsidR="000A3585" w:rsidRPr="000A3585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</w:p>
    <w:p w:rsidR="000A3585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  <w:r w:rsidRPr="000A3585">
        <w:rPr>
          <w:rFonts w:cs="Tahoma"/>
          <w:b/>
          <w:sz w:val="24"/>
          <w:szCs w:val="24"/>
        </w:rPr>
        <w:t>Durée du programme :</w:t>
      </w:r>
    </w:p>
    <w:p w:rsidR="000808FC" w:rsidRDefault="000808FC" w:rsidP="000A3585">
      <w:pPr>
        <w:spacing w:after="0"/>
        <w:jc w:val="both"/>
        <w:rPr>
          <w:rFonts w:cs="Tahoma"/>
          <w:b/>
          <w:sz w:val="24"/>
          <w:szCs w:val="24"/>
        </w:rPr>
      </w:pPr>
    </w:p>
    <w:p w:rsidR="000808FC" w:rsidRPr="000A3585" w:rsidRDefault="000808FC" w:rsidP="000808FC">
      <w:pPr>
        <w:spacing w:after="0"/>
        <w:jc w:val="both"/>
        <w:rPr>
          <w:rFonts w:cs="Tahoma"/>
          <w:szCs w:val="24"/>
        </w:rPr>
      </w:pPr>
      <w:r w:rsidRPr="000A3585">
        <w:rPr>
          <w:rFonts w:cs="Tahoma"/>
          <w:szCs w:val="24"/>
        </w:rPr>
        <w:t xml:space="preserve">Pour les étudiants </w:t>
      </w:r>
      <w:r>
        <w:rPr>
          <w:rFonts w:cs="Tahoma"/>
          <w:szCs w:val="24"/>
        </w:rPr>
        <w:t>diplômés du premier cycle</w:t>
      </w:r>
      <w:r w:rsidRPr="000A3585">
        <w:rPr>
          <w:rFonts w:cs="Tahoma"/>
          <w:szCs w:val="24"/>
        </w:rPr>
        <w:t xml:space="preserve">, la durée du programme est de </w:t>
      </w:r>
      <w:r>
        <w:rPr>
          <w:rFonts w:cs="Tahoma"/>
          <w:szCs w:val="24"/>
        </w:rPr>
        <w:t>5 ans</w:t>
      </w:r>
      <w:r w:rsidRPr="000A3585">
        <w:rPr>
          <w:rFonts w:cs="Tahoma"/>
          <w:szCs w:val="24"/>
        </w:rPr>
        <w:t xml:space="preserve"> (</w:t>
      </w:r>
      <w:r>
        <w:rPr>
          <w:rFonts w:cs="Tahoma"/>
          <w:szCs w:val="24"/>
        </w:rPr>
        <w:t>avril</w:t>
      </w:r>
      <w:r w:rsidRPr="000A3585">
        <w:rPr>
          <w:rFonts w:cs="Tahoma"/>
          <w:szCs w:val="24"/>
        </w:rPr>
        <w:t xml:space="preserve"> 201</w:t>
      </w:r>
      <w:r>
        <w:rPr>
          <w:rFonts w:cs="Tahoma"/>
          <w:szCs w:val="24"/>
        </w:rPr>
        <w:t>9</w:t>
      </w:r>
      <w:r w:rsidRPr="000A3585">
        <w:rPr>
          <w:rFonts w:cs="Tahoma"/>
          <w:szCs w:val="24"/>
        </w:rPr>
        <w:t xml:space="preserve"> et</w:t>
      </w:r>
      <w:r>
        <w:rPr>
          <w:rFonts w:cs="Tahoma"/>
          <w:szCs w:val="24"/>
        </w:rPr>
        <w:t xml:space="preserve"> mars 2024</w:t>
      </w:r>
      <w:r w:rsidRPr="000A3585">
        <w:rPr>
          <w:rFonts w:cs="Tahoma"/>
          <w:szCs w:val="24"/>
        </w:rPr>
        <w:t>).</w:t>
      </w:r>
    </w:p>
    <w:p w:rsidR="000808FC" w:rsidRPr="000A3585" w:rsidRDefault="000808FC" w:rsidP="000A3585">
      <w:pPr>
        <w:spacing w:after="0"/>
        <w:jc w:val="both"/>
        <w:rPr>
          <w:rFonts w:cs="Tahoma"/>
          <w:b/>
          <w:sz w:val="24"/>
          <w:szCs w:val="24"/>
        </w:rPr>
      </w:pPr>
    </w:p>
    <w:p w:rsidR="000A3585" w:rsidRPr="000A3585" w:rsidRDefault="000A3585" w:rsidP="000A3585">
      <w:pPr>
        <w:spacing w:after="0"/>
        <w:jc w:val="both"/>
        <w:rPr>
          <w:rFonts w:cs="Tahoma"/>
          <w:szCs w:val="24"/>
        </w:rPr>
      </w:pPr>
      <w:r w:rsidRPr="000A3585">
        <w:rPr>
          <w:rFonts w:cs="Tahoma"/>
          <w:szCs w:val="24"/>
        </w:rPr>
        <w:t>Pour les étudiants en master,</w:t>
      </w:r>
      <w:r w:rsidR="000808FC" w:rsidRPr="000808FC">
        <w:rPr>
          <w:rFonts w:cs="Tahoma"/>
          <w:szCs w:val="24"/>
        </w:rPr>
        <w:t xml:space="preserve"> </w:t>
      </w:r>
      <w:r w:rsidR="000808FC">
        <w:rPr>
          <w:rFonts w:cs="Tahoma"/>
          <w:szCs w:val="24"/>
        </w:rPr>
        <w:t xml:space="preserve">les doctorants et </w:t>
      </w:r>
      <w:r w:rsidR="000808FC" w:rsidRPr="000A3585">
        <w:rPr>
          <w:rFonts w:cs="Tahoma"/>
          <w:szCs w:val="24"/>
        </w:rPr>
        <w:t>les chercheurs</w:t>
      </w:r>
      <w:r w:rsidR="000808FC">
        <w:rPr>
          <w:rFonts w:cs="Tahoma"/>
          <w:szCs w:val="24"/>
        </w:rPr>
        <w:t xml:space="preserve"> libres</w:t>
      </w:r>
      <w:r w:rsidRPr="000A3585">
        <w:rPr>
          <w:rFonts w:cs="Tahoma"/>
          <w:szCs w:val="24"/>
        </w:rPr>
        <w:t xml:space="preserve"> la durée du programme est de </w:t>
      </w:r>
      <w:r w:rsidR="000808FC">
        <w:rPr>
          <w:rFonts w:cs="Tahoma"/>
          <w:szCs w:val="24"/>
        </w:rPr>
        <w:t>2 ans</w:t>
      </w:r>
      <w:r w:rsidRPr="000A3585">
        <w:rPr>
          <w:rFonts w:cs="Tahoma"/>
          <w:szCs w:val="24"/>
        </w:rPr>
        <w:t xml:space="preserve"> (</w:t>
      </w:r>
      <w:r w:rsidR="000808FC">
        <w:rPr>
          <w:rFonts w:cs="Tahoma"/>
          <w:szCs w:val="24"/>
        </w:rPr>
        <w:t>octobre 2019 et  mars 2021</w:t>
      </w:r>
      <w:r w:rsidRPr="000A3585">
        <w:rPr>
          <w:rFonts w:cs="Tahoma"/>
          <w:szCs w:val="24"/>
        </w:rPr>
        <w:t>).</w:t>
      </w:r>
    </w:p>
    <w:p w:rsidR="000A3585" w:rsidRPr="000A3585" w:rsidRDefault="000A3585" w:rsidP="000A3585">
      <w:pPr>
        <w:spacing w:after="0"/>
        <w:jc w:val="both"/>
        <w:rPr>
          <w:rFonts w:cs="Tahoma"/>
        </w:rPr>
      </w:pPr>
    </w:p>
    <w:p w:rsidR="000A3585" w:rsidRDefault="000A3585" w:rsidP="000A3585">
      <w:pPr>
        <w:spacing w:after="0"/>
        <w:jc w:val="both"/>
        <w:rPr>
          <w:rFonts w:cs="Tahoma"/>
          <w:szCs w:val="24"/>
        </w:rPr>
      </w:pPr>
      <w:r w:rsidRPr="000A3585">
        <w:rPr>
          <w:rFonts w:cs="Tahoma"/>
          <w:b/>
          <w:sz w:val="24"/>
          <w:szCs w:val="24"/>
        </w:rPr>
        <w:t xml:space="preserve">Domaine(s) éligible(s) : </w:t>
      </w:r>
      <w:r w:rsidR="00B45022">
        <w:rPr>
          <w:rFonts w:cs="Tahoma"/>
          <w:szCs w:val="24"/>
        </w:rPr>
        <w:t xml:space="preserve">domaine d’études dans lequel l’intéressé s’est spécialisé dans son institution en FWB </w:t>
      </w:r>
    </w:p>
    <w:p w:rsidR="00B45022" w:rsidRPr="00B45022" w:rsidRDefault="00D64B2C" w:rsidP="000A3585">
      <w:pPr>
        <w:spacing w:after="0"/>
        <w:jc w:val="both"/>
        <w:rPr>
          <w:rFonts w:cs="Tahoma"/>
          <w:szCs w:val="24"/>
        </w:rPr>
      </w:pPr>
      <w:r>
        <w:rPr>
          <w:rFonts w:cs="Tahoma"/>
          <w:szCs w:val="24"/>
        </w:rPr>
        <w:t>L</w:t>
      </w:r>
      <w:r w:rsidR="00B45022">
        <w:rPr>
          <w:rFonts w:cs="Tahoma"/>
          <w:szCs w:val="24"/>
        </w:rPr>
        <w:t>es étudiants en médecine, médecine dentaire ou sciences sociales ne sont pas autorisés à s’inscrire dans des formations cliniques telles que les soins médicaux et interventions chirurgicales sans l’autorisation appropriée délivrée par le Ministère de la santé, du travail et des affaires sociales conformément à la législation japonaise.</w:t>
      </w:r>
    </w:p>
    <w:p w:rsidR="000A3585" w:rsidRPr="000A3585" w:rsidRDefault="000A3585" w:rsidP="000A3585">
      <w:pPr>
        <w:spacing w:after="0"/>
        <w:jc w:val="both"/>
        <w:rPr>
          <w:rFonts w:cs="Tahoma"/>
          <w:szCs w:val="24"/>
        </w:rPr>
      </w:pPr>
    </w:p>
    <w:p w:rsidR="000A3585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</w:p>
    <w:p w:rsidR="00B45022" w:rsidRPr="000A3585" w:rsidRDefault="00B45022" w:rsidP="000A3585">
      <w:pPr>
        <w:spacing w:after="0"/>
        <w:jc w:val="both"/>
        <w:rPr>
          <w:rFonts w:cs="Tahoma"/>
          <w:b/>
          <w:sz w:val="24"/>
          <w:szCs w:val="24"/>
        </w:rPr>
      </w:pPr>
    </w:p>
    <w:p w:rsidR="000A3585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  <w:r w:rsidRPr="000A3585">
        <w:rPr>
          <w:rFonts w:cs="Tahoma"/>
          <w:b/>
          <w:sz w:val="24"/>
          <w:szCs w:val="24"/>
        </w:rPr>
        <w:t>Introduction des candidatures (délais, formulaires,…) :</w:t>
      </w:r>
    </w:p>
    <w:p w:rsidR="00AC35DB" w:rsidRDefault="00AC35DB" w:rsidP="000A3585">
      <w:pPr>
        <w:spacing w:after="0"/>
        <w:jc w:val="both"/>
      </w:pPr>
      <w:r w:rsidRPr="008A7EF5">
        <w:lastRenderedPageBreak/>
        <w:t>Envoyez votre dossier</w:t>
      </w:r>
      <w:r w:rsidR="00997035">
        <w:t xml:space="preserve"> WBI</w:t>
      </w:r>
      <w:r w:rsidRPr="008A7EF5">
        <w:t xml:space="preserve"> </w:t>
      </w:r>
      <w:r>
        <w:t xml:space="preserve">dactylographié, signé et </w:t>
      </w:r>
      <w:r w:rsidRPr="008A7EF5">
        <w:t xml:space="preserve">complet par mail en un seul fichier </w:t>
      </w:r>
      <w:proofErr w:type="spellStart"/>
      <w:proofErr w:type="gramStart"/>
      <w:r w:rsidRPr="008A7EF5">
        <w:t>pdf</w:t>
      </w:r>
      <w:proofErr w:type="spellEnd"/>
      <w:r w:rsidRPr="008A7EF5">
        <w:t> </w:t>
      </w:r>
      <w:r>
        <w:t>.</w:t>
      </w:r>
      <w:proofErr w:type="gramEnd"/>
    </w:p>
    <w:p w:rsidR="00997035" w:rsidRDefault="00997035" w:rsidP="000A3585">
      <w:pPr>
        <w:spacing w:after="0"/>
        <w:jc w:val="both"/>
        <w:rPr>
          <w:rStyle w:val="Lienhypertexte"/>
        </w:rPr>
      </w:pPr>
      <w:r>
        <w:t>Une copie du dossier de candidature japonais.</w:t>
      </w:r>
    </w:p>
    <w:p w:rsidR="00AC35DB" w:rsidRPr="000A3585" w:rsidRDefault="00AC35DB" w:rsidP="000A3585">
      <w:pPr>
        <w:spacing w:after="0"/>
        <w:jc w:val="both"/>
        <w:rPr>
          <w:rFonts w:cs="Tahoma"/>
          <w:b/>
          <w:sz w:val="24"/>
          <w:szCs w:val="24"/>
        </w:rPr>
      </w:pPr>
    </w:p>
    <w:p w:rsidR="000A3585" w:rsidRPr="000A3585" w:rsidRDefault="000A3585" w:rsidP="000A3585">
      <w:pPr>
        <w:spacing w:after="0"/>
        <w:jc w:val="both"/>
        <w:rPr>
          <w:rFonts w:cs="Tahoma"/>
          <w:szCs w:val="24"/>
        </w:rPr>
      </w:pPr>
    </w:p>
    <w:p w:rsidR="000A3585" w:rsidRDefault="000A3585" w:rsidP="000A3585">
      <w:pPr>
        <w:spacing w:after="0"/>
        <w:jc w:val="both"/>
        <w:rPr>
          <w:rFonts w:cs="Tahoma"/>
          <w:szCs w:val="24"/>
        </w:rPr>
      </w:pPr>
      <w:r w:rsidRPr="000A3585">
        <w:rPr>
          <w:rFonts w:cs="Tahoma"/>
          <w:szCs w:val="24"/>
        </w:rPr>
        <w:t xml:space="preserve">Introduction </w:t>
      </w:r>
      <w:r>
        <w:rPr>
          <w:rFonts w:cs="Tahoma"/>
          <w:b/>
          <w:szCs w:val="24"/>
        </w:rPr>
        <w:t>auprès de WBI</w:t>
      </w:r>
      <w:r w:rsidRPr="000A3585">
        <w:rPr>
          <w:rFonts w:cs="Tahoma"/>
          <w:szCs w:val="24"/>
        </w:rPr>
        <w:t xml:space="preserve"> des candidatures pour les bourses pour l’année académique </w:t>
      </w:r>
      <w:r w:rsidRPr="000A3585">
        <w:rPr>
          <w:rFonts w:cs="Tahoma"/>
          <w:szCs w:val="24"/>
          <w:u w:val="single"/>
        </w:rPr>
        <w:t>suivante</w:t>
      </w:r>
      <w:r>
        <w:rPr>
          <w:rFonts w:cs="Tahoma"/>
          <w:szCs w:val="24"/>
        </w:rPr>
        <w:t> : le 1</w:t>
      </w:r>
      <w:r w:rsidRPr="000A3585">
        <w:rPr>
          <w:rFonts w:cs="Tahoma"/>
          <w:szCs w:val="24"/>
          <w:vertAlign w:val="superscript"/>
        </w:rPr>
        <w:t>er</w:t>
      </w:r>
      <w:r>
        <w:rPr>
          <w:rFonts w:cs="Tahoma"/>
          <w:szCs w:val="24"/>
        </w:rPr>
        <w:t xml:space="preserve"> </w:t>
      </w:r>
      <w:r w:rsidR="00B45022">
        <w:rPr>
          <w:rFonts w:cs="Tahoma"/>
          <w:szCs w:val="24"/>
        </w:rPr>
        <w:t>juin</w:t>
      </w:r>
    </w:p>
    <w:p w:rsidR="000A3585" w:rsidRDefault="000A3585" w:rsidP="000A3585">
      <w:pPr>
        <w:spacing w:after="0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Le formulaire de candidature est sur le site internet à l’adresse suivante : </w:t>
      </w:r>
      <w:hyperlink r:id="rId9" w:history="1">
        <w:r w:rsidRPr="00755699">
          <w:rPr>
            <w:rStyle w:val="Lienhypertexte"/>
            <w:rFonts w:cs="Tahoma"/>
            <w:szCs w:val="24"/>
          </w:rPr>
          <w:t>http://www.wbi.be/fr/services/service/obtenir-bourse-specialisation-letranger-wb</w:t>
        </w:r>
      </w:hyperlink>
      <w:r>
        <w:rPr>
          <w:rFonts w:cs="Tahoma"/>
          <w:szCs w:val="24"/>
        </w:rPr>
        <w:t xml:space="preserve"> </w:t>
      </w:r>
    </w:p>
    <w:p w:rsidR="00B45022" w:rsidRPr="000A3585" w:rsidRDefault="00B45022" w:rsidP="000A3585">
      <w:pPr>
        <w:spacing w:after="0"/>
        <w:jc w:val="both"/>
        <w:rPr>
          <w:rFonts w:cs="Tahoma"/>
          <w:szCs w:val="24"/>
        </w:rPr>
      </w:pPr>
    </w:p>
    <w:p w:rsidR="00B45022" w:rsidRDefault="00B45022" w:rsidP="00B45022">
      <w:pPr>
        <w:spacing w:after="0"/>
        <w:jc w:val="both"/>
        <w:rPr>
          <w:rFonts w:cs="Tahoma"/>
          <w:szCs w:val="24"/>
        </w:rPr>
      </w:pPr>
      <w:r w:rsidRPr="000A3585">
        <w:rPr>
          <w:rFonts w:cs="Tahoma"/>
          <w:szCs w:val="24"/>
        </w:rPr>
        <w:t xml:space="preserve">Introduction </w:t>
      </w:r>
      <w:r>
        <w:rPr>
          <w:rFonts w:cs="Tahoma"/>
          <w:b/>
          <w:szCs w:val="24"/>
        </w:rPr>
        <w:t xml:space="preserve">auprès de l’Ambassade du Japon (MEXT) </w:t>
      </w:r>
      <w:r w:rsidRPr="000A3585">
        <w:rPr>
          <w:rFonts w:cs="Tahoma"/>
          <w:szCs w:val="24"/>
        </w:rPr>
        <w:t xml:space="preserve">des candidatures pour les bourses pour l’année académique </w:t>
      </w:r>
      <w:r w:rsidRPr="000A3585">
        <w:rPr>
          <w:rFonts w:cs="Tahoma"/>
          <w:szCs w:val="24"/>
          <w:u w:val="single"/>
        </w:rPr>
        <w:t>suivante</w:t>
      </w:r>
      <w:r>
        <w:rPr>
          <w:rFonts w:cs="Tahoma"/>
          <w:szCs w:val="24"/>
        </w:rPr>
        <w:t> : le 1</w:t>
      </w:r>
      <w:r w:rsidRPr="000A3585">
        <w:rPr>
          <w:rFonts w:cs="Tahoma"/>
          <w:szCs w:val="24"/>
          <w:vertAlign w:val="superscript"/>
        </w:rPr>
        <w:t>er</w:t>
      </w:r>
      <w:r>
        <w:rPr>
          <w:rFonts w:cs="Tahoma"/>
          <w:szCs w:val="24"/>
        </w:rPr>
        <w:t xml:space="preserve"> juin</w:t>
      </w:r>
    </w:p>
    <w:p w:rsidR="00B45022" w:rsidRDefault="00B45022" w:rsidP="00B45022">
      <w:pPr>
        <w:spacing w:after="0"/>
        <w:jc w:val="both"/>
        <w:rPr>
          <w:rFonts w:cs="Tahoma"/>
          <w:szCs w:val="24"/>
        </w:rPr>
      </w:pPr>
    </w:p>
    <w:p w:rsidR="000A3585" w:rsidRDefault="00B45022" w:rsidP="00B45022">
      <w:pPr>
        <w:spacing w:after="0"/>
        <w:jc w:val="both"/>
        <w:rPr>
          <w:rFonts w:cs="Tahoma"/>
          <w:szCs w:val="24"/>
        </w:rPr>
      </w:pPr>
      <w:r>
        <w:rPr>
          <w:rFonts w:cs="Tahoma"/>
          <w:szCs w:val="24"/>
        </w:rPr>
        <w:t>Le formulaire de candidature est sur le site internet à l’adresse suivante :</w:t>
      </w:r>
    </w:p>
    <w:p w:rsidR="00B45022" w:rsidRDefault="007D04E9" w:rsidP="00B45022">
      <w:pPr>
        <w:spacing w:after="0"/>
        <w:jc w:val="both"/>
        <w:rPr>
          <w:rFonts w:cs="Tahoma"/>
          <w:szCs w:val="24"/>
        </w:rPr>
      </w:pPr>
      <w:hyperlink r:id="rId10" w:history="1">
        <w:r w:rsidR="00B45022" w:rsidRPr="00BB776A">
          <w:rPr>
            <w:rStyle w:val="Lienhypertexte"/>
            <w:rFonts w:cs="Tahoma"/>
            <w:szCs w:val="24"/>
          </w:rPr>
          <w:t>http://www.be.emb-japan.go.jp/itpr_en/study_st</w:t>
        </w:r>
        <w:bookmarkStart w:id="0" w:name="_GoBack"/>
        <w:bookmarkEnd w:id="0"/>
        <w:r w:rsidR="00B45022" w:rsidRPr="00BB776A">
          <w:rPr>
            <w:rStyle w:val="Lienhypertexte"/>
            <w:rFonts w:cs="Tahoma"/>
            <w:szCs w:val="24"/>
          </w:rPr>
          <w:t>udy.html</w:t>
        </w:r>
      </w:hyperlink>
    </w:p>
    <w:p w:rsidR="000A3585" w:rsidRPr="000A3585" w:rsidRDefault="000A3585" w:rsidP="000A3585">
      <w:pPr>
        <w:spacing w:after="0"/>
        <w:jc w:val="both"/>
        <w:rPr>
          <w:rFonts w:cs="Tahoma"/>
          <w:sz w:val="24"/>
          <w:szCs w:val="24"/>
        </w:rPr>
      </w:pPr>
    </w:p>
    <w:p w:rsidR="000A3585" w:rsidRPr="000A3585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  <w:r w:rsidRPr="000A3585">
        <w:rPr>
          <w:rFonts w:cs="Tahoma"/>
          <w:b/>
          <w:sz w:val="24"/>
          <w:szCs w:val="24"/>
        </w:rPr>
        <w:t>Procédure générale de sélection :</w:t>
      </w:r>
    </w:p>
    <w:p w:rsidR="000A3585" w:rsidRDefault="000A3585" w:rsidP="000A3585">
      <w:pPr>
        <w:spacing w:after="0"/>
        <w:jc w:val="both"/>
        <w:rPr>
          <w:rFonts w:cs="Tahoma"/>
          <w:szCs w:val="24"/>
        </w:rPr>
      </w:pPr>
      <w:r w:rsidRPr="000A3585">
        <w:rPr>
          <w:rFonts w:cs="Tahoma"/>
          <w:szCs w:val="24"/>
        </w:rPr>
        <w:t xml:space="preserve">La sélection des boursiers est effectuée par </w:t>
      </w:r>
      <w:r>
        <w:rPr>
          <w:rFonts w:cs="Tahoma"/>
          <w:szCs w:val="24"/>
        </w:rPr>
        <w:t>un</w:t>
      </w:r>
      <w:r w:rsidRPr="000A3585">
        <w:rPr>
          <w:rFonts w:cs="Tahoma"/>
          <w:szCs w:val="24"/>
        </w:rPr>
        <w:t xml:space="preserve"> comité de sélection</w:t>
      </w:r>
      <w:r w:rsidR="00A6159B">
        <w:rPr>
          <w:rFonts w:cs="Tahoma"/>
          <w:szCs w:val="24"/>
        </w:rPr>
        <w:t xml:space="preserve"> composé de représentants de l’Ambassade du Japon en Belgique, d’experts de la Fédération Wallonie-Bruxelles et de WBI</w:t>
      </w:r>
      <w:r>
        <w:rPr>
          <w:rFonts w:cs="Tahoma"/>
          <w:szCs w:val="24"/>
        </w:rPr>
        <w:t>.</w:t>
      </w:r>
    </w:p>
    <w:p w:rsidR="000A3585" w:rsidRDefault="000A3585" w:rsidP="000A3585">
      <w:pPr>
        <w:spacing w:after="0"/>
        <w:jc w:val="both"/>
        <w:rPr>
          <w:rFonts w:cs="Tahoma"/>
          <w:szCs w:val="24"/>
        </w:rPr>
      </w:pPr>
    </w:p>
    <w:p w:rsidR="00AC35DB" w:rsidRDefault="00AC35DB" w:rsidP="00AC35DB">
      <w:pPr>
        <w:spacing w:after="0"/>
        <w:jc w:val="both"/>
      </w:pPr>
      <w:r w:rsidRPr="008A7EF5">
        <w:t xml:space="preserve">Envoyez votre dossier </w:t>
      </w:r>
      <w:r>
        <w:t xml:space="preserve">dactylographié, signé et </w:t>
      </w:r>
      <w:r w:rsidRPr="008A7EF5">
        <w:t>complet pa</w:t>
      </w:r>
      <w:r>
        <w:t xml:space="preserve">r mail en un seul fichier </w:t>
      </w:r>
      <w:proofErr w:type="spellStart"/>
      <w:r>
        <w:t>pdf</w:t>
      </w:r>
      <w:proofErr w:type="spellEnd"/>
      <w:r>
        <w:t>.</w:t>
      </w:r>
    </w:p>
    <w:p w:rsidR="00AC35DB" w:rsidRPr="008A7EF5" w:rsidRDefault="00AC35DB" w:rsidP="00AC35DB">
      <w:pPr>
        <w:spacing w:after="0"/>
        <w:jc w:val="both"/>
      </w:pPr>
      <w:r w:rsidRPr="008A7EF5">
        <w:t>Le dossier de candidature sera e</w:t>
      </w:r>
      <w:r>
        <w:t xml:space="preserve">xaminé en termes de recevabilité. Un courrier </w:t>
      </w:r>
      <w:r w:rsidRPr="008A7EF5">
        <w:t>officiel vous sera envoyé pour vous communiquer la décision d</w:t>
      </w:r>
      <w:r>
        <w:t>e Wallonie-Bruxelles International.</w:t>
      </w:r>
    </w:p>
    <w:p w:rsidR="000A3585" w:rsidRPr="000A3585" w:rsidRDefault="000A3585" w:rsidP="000A3585">
      <w:pPr>
        <w:spacing w:after="0"/>
        <w:jc w:val="both"/>
        <w:rPr>
          <w:rFonts w:cs="Tahoma"/>
          <w:sz w:val="24"/>
          <w:szCs w:val="24"/>
        </w:rPr>
      </w:pPr>
    </w:p>
    <w:p w:rsidR="000A3585" w:rsidRPr="000A3585" w:rsidRDefault="000A3585" w:rsidP="000A3585">
      <w:pPr>
        <w:spacing w:after="0"/>
        <w:jc w:val="both"/>
        <w:rPr>
          <w:rFonts w:cs="Tahoma"/>
          <w:b/>
          <w:sz w:val="24"/>
          <w:szCs w:val="24"/>
        </w:rPr>
      </w:pPr>
      <w:r w:rsidRPr="000A3585">
        <w:rPr>
          <w:rFonts w:cs="Tahoma"/>
          <w:b/>
          <w:sz w:val="24"/>
          <w:szCs w:val="24"/>
        </w:rPr>
        <w:t>Modalités financières :</w:t>
      </w:r>
    </w:p>
    <w:p w:rsidR="00AC35DB" w:rsidRPr="00AC35DB" w:rsidRDefault="00AC35DB" w:rsidP="00AC35DB">
      <w:pPr>
        <w:spacing w:after="0"/>
        <w:jc w:val="both"/>
        <w:rPr>
          <w:rFonts w:cs="Tahoma"/>
          <w:szCs w:val="24"/>
        </w:rPr>
      </w:pPr>
      <w:r w:rsidRPr="00AC35DB">
        <w:rPr>
          <w:rFonts w:cs="Tahoma"/>
          <w:szCs w:val="24"/>
        </w:rPr>
        <w:t>Octroi d’une bourse</w:t>
      </w:r>
      <w:r w:rsidR="00B358F7">
        <w:rPr>
          <w:rFonts w:cs="Tahoma"/>
          <w:szCs w:val="24"/>
        </w:rPr>
        <w:t xml:space="preserve"> mensuelle, 1 A/R sur la durée du programme, frais de scolarité et autres frais</w:t>
      </w:r>
      <w:r w:rsidR="00D64B2C">
        <w:rPr>
          <w:rFonts w:cs="Tahoma"/>
          <w:szCs w:val="24"/>
        </w:rPr>
        <w:t xml:space="preserve">  </w:t>
      </w:r>
      <w:r w:rsidR="00B358F7">
        <w:rPr>
          <w:rFonts w:cs="Tahoma"/>
          <w:szCs w:val="24"/>
        </w:rPr>
        <w:t xml:space="preserve">(frais pour l’examen d’entrée, l’inscription et les frais de scolarité) pris en charge par le Gouvernement japonais. </w:t>
      </w:r>
      <w:r>
        <w:rPr>
          <w:rFonts w:cs="Tahoma"/>
          <w:szCs w:val="24"/>
        </w:rPr>
        <w:t>.</w:t>
      </w:r>
    </w:p>
    <w:p w:rsidR="00AC35DB" w:rsidRPr="000A3585" w:rsidRDefault="00AC35DB" w:rsidP="00AC35DB">
      <w:pPr>
        <w:spacing w:after="0"/>
        <w:jc w:val="both"/>
        <w:rPr>
          <w:rFonts w:cs="Tahoma"/>
          <w:b/>
          <w:szCs w:val="24"/>
        </w:rPr>
      </w:pPr>
    </w:p>
    <w:p w:rsidR="000A3585" w:rsidRPr="000A3585" w:rsidRDefault="000A3585" w:rsidP="00AC35DB">
      <w:pPr>
        <w:spacing w:after="0"/>
        <w:jc w:val="both"/>
        <w:rPr>
          <w:rFonts w:cs="Tahoma"/>
          <w:szCs w:val="24"/>
        </w:rPr>
      </w:pPr>
      <w:r w:rsidRPr="000A3585">
        <w:rPr>
          <w:rFonts w:cs="Tahoma"/>
          <w:b/>
          <w:sz w:val="24"/>
          <w:szCs w:val="24"/>
        </w:rPr>
        <w:t>Personne de contact </w:t>
      </w:r>
      <w:r w:rsidRPr="000A3585">
        <w:rPr>
          <w:rFonts w:cs="Tahoma"/>
          <w:b/>
          <w:szCs w:val="24"/>
        </w:rPr>
        <w:t xml:space="preserve">: </w:t>
      </w:r>
    </w:p>
    <w:p w:rsidR="00AC35DB" w:rsidRPr="00AC35DB" w:rsidRDefault="00AC35DB" w:rsidP="00AC35DB">
      <w:pPr>
        <w:spacing w:after="0" w:line="240" w:lineRule="auto"/>
        <w:jc w:val="both"/>
        <w:rPr>
          <w:b/>
        </w:rPr>
      </w:pPr>
      <w:r w:rsidRPr="00AC35DB">
        <w:t xml:space="preserve">Madame </w:t>
      </w:r>
      <w:r w:rsidR="00B45022">
        <w:t>Anoula KINNEN</w:t>
      </w:r>
    </w:p>
    <w:p w:rsidR="00AC35DB" w:rsidRPr="00AC35DB" w:rsidRDefault="00AC35DB" w:rsidP="00AC35DB">
      <w:pPr>
        <w:spacing w:after="0" w:line="240" w:lineRule="auto"/>
        <w:jc w:val="both"/>
      </w:pPr>
      <w:r w:rsidRPr="00AC35DB">
        <w:t>WBI - Service des bourses internationales</w:t>
      </w:r>
    </w:p>
    <w:p w:rsidR="00AC35DB" w:rsidRPr="00AC35DB" w:rsidRDefault="00AC35DB" w:rsidP="00AC35DB">
      <w:pPr>
        <w:spacing w:after="0" w:line="240" w:lineRule="auto"/>
        <w:jc w:val="both"/>
      </w:pPr>
      <w:r w:rsidRPr="00AC35DB">
        <w:t>Tél : 02/</w:t>
      </w:r>
      <w:proofErr w:type="gramStart"/>
      <w:r w:rsidRPr="00AC35DB">
        <w:t>421.82.0</w:t>
      </w:r>
      <w:r w:rsidR="00B45022">
        <w:t>3</w:t>
      </w:r>
      <w:r w:rsidRPr="00AC35DB">
        <w:t xml:space="preserve"> ,</w:t>
      </w:r>
      <w:proofErr w:type="gramEnd"/>
      <w:r w:rsidRPr="00AC35DB">
        <w:t xml:space="preserve"> e-mail : </w:t>
      </w:r>
      <w:hyperlink r:id="rId11" w:history="1">
        <w:r w:rsidR="00B45022" w:rsidRPr="00BB776A">
          <w:rPr>
            <w:rStyle w:val="Lienhypertexte"/>
          </w:rPr>
          <w:t>a.kinnen@wbi.be</w:t>
        </w:r>
      </w:hyperlink>
    </w:p>
    <w:p w:rsidR="00AC35DB" w:rsidRPr="00AC35DB" w:rsidRDefault="00AC35DB" w:rsidP="00AC35DB">
      <w:pPr>
        <w:spacing w:after="0" w:line="240" w:lineRule="auto"/>
        <w:jc w:val="both"/>
      </w:pPr>
      <w:r w:rsidRPr="00AC35DB">
        <w:t>2, Place Sainctelette - 1080 Bruxelles</w:t>
      </w:r>
    </w:p>
    <w:p w:rsidR="00AC35DB" w:rsidRPr="00AC35DB" w:rsidRDefault="007D04E9" w:rsidP="00AC35DB">
      <w:pPr>
        <w:spacing w:after="0" w:line="240" w:lineRule="auto"/>
        <w:jc w:val="both"/>
      </w:pPr>
      <w:hyperlink r:id="rId12" w:history="1">
        <w:r w:rsidR="00AC35DB" w:rsidRPr="00AC35DB">
          <w:rPr>
            <w:rStyle w:val="Lienhypertexte"/>
          </w:rPr>
          <w:t>www.wbi.be/bourses</w:t>
        </w:r>
      </w:hyperlink>
      <w:r w:rsidR="00AC35DB" w:rsidRPr="00AC35DB">
        <w:t xml:space="preserve"> </w:t>
      </w:r>
    </w:p>
    <w:p w:rsidR="001A6F5C" w:rsidRPr="000A3585" w:rsidRDefault="001A6F5C" w:rsidP="00A85C50">
      <w:pPr>
        <w:spacing w:after="0" w:line="240" w:lineRule="auto"/>
        <w:jc w:val="both"/>
      </w:pPr>
    </w:p>
    <w:p w:rsidR="001A6F5C" w:rsidRPr="000A3585" w:rsidRDefault="001A6F5C" w:rsidP="00A85C50">
      <w:pPr>
        <w:spacing w:after="0" w:line="240" w:lineRule="auto"/>
        <w:jc w:val="both"/>
      </w:pPr>
    </w:p>
    <w:sectPr w:rsidR="001A6F5C" w:rsidRPr="000A358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8E" w:rsidRDefault="00D9078E" w:rsidP="009F6F16">
      <w:pPr>
        <w:spacing w:after="0" w:line="240" w:lineRule="auto"/>
      </w:pPr>
      <w:r>
        <w:separator/>
      </w:r>
    </w:p>
  </w:endnote>
  <w:endnote w:type="continuationSeparator" w:id="0">
    <w:p w:rsidR="00D9078E" w:rsidRDefault="00D9078E" w:rsidP="009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22" w:rsidRPr="009F6F16" w:rsidRDefault="00B45022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/>
        <w:bCs/>
        <w:noProof/>
        <w:szCs w:val="20"/>
        <w:lang w:eastAsia="fr-BE"/>
      </w:rPr>
    </w:pPr>
    <w:r>
      <w:rPr>
        <w:noProof/>
        <w:sz w:val="24"/>
        <w:szCs w:val="24"/>
        <w:lang w:eastAsia="fr-BE"/>
      </w:rPr>
      <w:drawing>
        <wp:anchor distT="0" distB="0" distL="114300" distR="114300" simplePos="0" relativeHeight="251659264" behindDoc="1" locked="0" layoutInCell="1" allowOverlap="1" wp14:anchorId="3350F238" wp14:editId="436910E1">
          <wp:simplePos x="0" y="0"/>
          <wp:positionH relativeFrom="column">
            <wp:posOffset>5393542</wp:posOffset>
          </wp:positionH>
          <wp:positionV relativeFrom="paragraph">
            <wp:posOffset>163141</wp:posOffset>
          </wp:positionV>
          <wp:extent cx="942512" cy="974556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a_WBI_basse_resol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512" cy="974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b/>
        <w:bCs/>
        <w:noProof/>
        <w:szCs w:val="20"/>
        <w:lang w:eastAsia="fr-BE"/>
      </w:rPr>
      <w:t xml:space="preserve">Wallonie - Bruxelles </w:t>
    </w:r>
    <w:r w:rsidRPr="009F6F16">
      <w:rPr>
        <w:rFonts w:eastAsiaTheme="minorEastAsia"/>
        <w:b/>
        <w:bCs/>
        <w:noProof/>
        <w:szCs w:val="20"/>
        <w:lang w:eastAsia="fr-BE"/>
      </w:rPr>
      <w:t>International</w:t>
    </w:r>
  </w:p>
  <w:p w:rsidR="00B45022" w:rsidRPr="009F6F16" w:rsidRDefault="00B45022" w:rsidP="009F6F16">
    <w:pPr>
      <w:pStyle w:val="Pieddepage"/>
      <w:tabs>
        <w:tab w:val="clear" w:pos="9072"/>
        <w:tab w:val="right" w:pos="9639"/>
      </w:tabs>
      <w:ind w:right="-567"/>
      <w:rPr>
        <w:rFonts w:eastAsiaTheme="minorEastAsia"/>
        <w:b/>
        <w:bCs/>
        <w:noProof/>
        <w:sz w:val="20"/>
        <w:szCs w:val="20"/>
        <w:lang w:eastAsia="fr-BE"/>
      </w:rPr>
    </w:pPr>
  </w:p>
  <w:p w:rsidR="00B45022" w:rsidRPr="009F6F16" w:rsidRDefault="00B45022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Cs/>
        <w:noProof/>
        <w:sz w:val="20"/>
        <w:szCs w:val="20"/>
        <w:lang w:eastAsia="fr-BE"/>
      </w:rPr>
      <w:t>Place S</w:t>
    </w:r>
    <w:r w:rsidRPr="009F6F16">
      <w:rPr>
        <w:rFonts w:eastAsiaTheme="minorEastAsia"/>
        <w:bCs/>
        <w:noProof/>
        <w:sz w:val="20"/>
        <w:szCs w:val="20"/>
        <w:lang w:eastAsia="fr-BE"/>
      </w:rPr>
      <w:t>ainctelette 2 /</w:t>
    </w:r>
    <w:r>
      <w:rPr>
        <w:rFonts w:eastAsiaTheme="minorEastAsia"/>
        <w:bCs/>
        <w:noProof/>
        <w:sz w:val="20"/>
        <w:szCs w:val="20"/>
        <w:lang w:eastAsia="fr-BE"/>
      </w:rPr>
      <w:t xml:space="preserve"> </w:t>
    </w:r>
    <w:r w:rsidRPr="009F6F16">
      <w:rPr>
        <w:rFonts w:eastAsiaTheme="minorEastAsia"/>
        <w:bCs/>
        <w:noProof/>
        <w:sz w:val="20"/>
        <w:szCs w:val="20"/>
        <w:lang w:eastAsia="fr-BE"/>
      </w:rPr>
      <w:t>1080 Bruxelles / Belgique</w:t>
    </w:r>
  </w:p>
  <w:p w:rsidR="00B45022" w:rsidRPr="009F6F16" w:rsidRDefault="00B45022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/>
        <w:bCs/>
        <w:noProof/>
        <w:szCs w:val="20"/>
        <w:lang w:eastAsia="fr-BE"/>
      </w:rPr>
      <w:drawing>
        <wp:anchor distT="0" distB="0" distL="114300" distR="114300" simplePos="0" relativeHeight="251658240" behindDoc="1" locked="0" layoutInCell="1" allowOverlap="1" wp14:anchorId="30B96CF8" wp14:editId="549628C7">
          <wp:simplePos x="0" y="0"/>
          <wp:positionH relativeFrom="column">
            <wp:posOffset>3509010</wp:posOffset>
          </wp:positionH>
          <wp:positionV relativeFrom="paragraph">
            <wp:posOffset>12700</wp:posOffset>
          </wp:positionV>
          <wp:extent cx="1809115" cy="55626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l_inspired_noir_basse_resolu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F16">
      <w:rPr>
        <w:rFonts w:eastAsiaTheme="minorEastAsia"/>
        <w:bCs/>
        <w:noProof/>
        <w:sz w:val="20"/>
        <w:szCs w:val="20"/>
        <w:lang w:eastAsia="fr-BE"/>
      </w:rPr>
      <w:t xml:space="preserve">(T) +32 2 421 82 11 / (F) +32 2 421 87 87 / </w:t>
    </w:r>
    <w:hyperlink r:id="rId3" w:history="1">
      <w:r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wbi@wbi.be</w:t>
      </w:r>
    </w:hyperlink>
  </w:p>
  <w:p w:rsidR="00B45022" w:rsidRPr="009F6F16" w:rsidRDefault="00B45022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</w:p>
  <w:p w:rsidR="00B45022" w:rsidRPr="00195E49" w:rsidRDefault="007D04E9" w:rsidP="00195E49">
    <w:pPr>
      <w:pStyle w:val="Pieddepage"/>
      <w:tabs>
        <w:tab w:val="clear" w:pos="4536"/>
        <w:tab w:val="clear" w:pos="9072"/>
        <w:tab w:val="center" w:pos="2835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hyperlink r:id="rId4" w:history="1">
      <w:r w:rsidR="00B45022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www.wbi.be</w:t>
      </w:r>
    </w:hyperlink>
    <w:r w:rsidR="00B45022" w:rsidRPr="009F6F16">
      <w:rPr>
        <w:rFonts w:eastAsiaTheme="minorEastAsia"/>
        <w:bCs/>
        <w:noProof/>
        <w:sz w:val="20"/>
        <w:szCs w:val="20"/>
        <w:lang w:eastAsia="fr-BE"/>
      </w:rPr>
      <w:tab/>
    </w:r>
    <w:hyperlink r:id="rId5" w:history="1">
      <w:r w:rsidR="00B45022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www.walloniabrussels.be</w:t>
      </w:r>
    </w:hyperlink>
    <w:r w:rsidR="00B45022">
      <w:rPr>
        <w:rFonts w:eastAsiaTheme="minorEastAsia"/>
        <w:b/>
        <w:bCs/>
        <w:noProof/>
        <w:color w:val="1F497D" w:themeColor="dark2"/>
        <w:sz w:val="20"/>
        <w:szCs w:val="20"/>
        <w:lang w:eastAsia="fr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8E" w:rsidRDefault="00D9078E" w:rsidP="009F6F16">
      <w:pPr>
        <w:spacing w:after="0" w:line="240" w:lineRule="auto"/>
      </w:pPr>
      <w:r>
        <w:separator/>
      </w:r>
    </w:p>
  </w:footnote>
  <w:footnote w:type="continuationSeparator" w:id="0">
    <w:p w:rsidR="00D9078E" w:rsidRDefault="00D9078E" w:rsidP="009F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22" w:rsidRDefault="00B45022">
    <w:pPr>
      <w:pStyle w:val="En-tte"/>
    </w:pPr>
    <w:r>
      <w:rPr>
        <w:noProof/>
        <w:lang w:eastAsia="fr-BE"/>
      </w:rPr>
      <w:drawing>
        <wp:inline distT="0" distB="0" distL="0" distR="0" wp14:anchorId="337ED28B" wp14:editId="235FF544">
          <wp:extent cx="1823938" cy="1021405"/>
          <wp:effectExtent l="0" t="0" r="508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bi_noir_bass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938" cy="102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5022" w:rsidRDefault="00B45022">
    <w:pPr>
      <w:pStyle w:val="En-tte"/>
    </w:pPr>
  </w:p>
  <w:p w:rsidR="00B45022" w:rsidRDefault="00B450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63E"/>
    <w:multiLevelType w:val="hybridMultilevel"/>
    <w:tmpl w:val="A626A28A"/>
    <w:lvl w:ilvl="0" w:tplc="9BF69236">
      <w:start w:val="8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812"/>
    <w:multiLevelType w:val="hybridMultilevel"/>
    <w:tmpl w:val="492EE7B8"/>
    <w:lvl w:ilvl="0" w:tplc="2A72E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74DDD"/>
    <w:multiLevelType w:val="hybridMultilevel"/>
    <w:tmpl w:val="4B4E5C54"/>
    <w:lvl w:ilvl="0" w:tplc="60EA54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B4"/>
    <w:rsid w:val="00052168"/>
    <w:rsid w:val="000808FC"/>
    <w:rsid w:val="000A3585"/>
    <w:rsid w:val="000C2044"/>
    <w:rsid w:val="001009DD"/>
    <w:rsid w:val="00141DBF"/>
    <w:rsid w:val="00160DBA"/>
    <w:rsid w:val="00195E49"/>
    <w:rsid w:val="001A6F5C"/>
    <w:rsid w:val="001D7092"/>
    <w:rsid w:val="002246B4"/>
    <w:rsid w:val="00245D00"/>
    <w:rsid w:val="0033072B"/>
    <w:rsid w:val="00362469"/>
    <w:rsid w:val="00374151"/>
    <w:rsid w:val="00380459"/>
    <w:rsid w:val="004116B9"/>
    <w:rsid w:val="004302FB"/>
    <w:rsid w:val="0046042E"/>
    <w:rsid w:val="004B5D13"/>
    <w:rsid w:val="005020DA"/>
    <w:rsid w:val="00514EA1"/>
    <w:rsid w:val="00683F93"/>
    <w:rsid w:val="0070662A"/>
    <w:rsid w:val="00726278"/>
    <w:rsid w:val="007A39D7"/>
    <w:rsid w:val="007B6DEC"/>
    <w:rsid w:val="007D04E9"/>
    <w:rsid w:val="008A7EF5"/>
    <w:rsid w:val="008E05DD"/>
    <w:rsid w:val="00930D17"/>
    <w:rsid w:val="00997035"/>
    <w:rsid w:val="009C40A0"/>
    <w:rsid w:val="009F6F16"/>
    <w:rsid w:val="00A6159B"/>
    <w:rsid w:val="00A85C50"/>
    <w:rsid w:val="00AC35DB"/>
    <w:rsid w:val="00B034A6"/>
    <w:rsid w:val="00B358F7"/>
    <w:rsid w:val="00B41735"/>
    <w:rsid w:val="00B45022"/>
    <w:rsid w:val="00C30856"/>
    <w:rsid w:val="00CF12AF"/>
    <w:rsid w:val="00D64B2C"/>
    <w:rsid w:val="00D72DBC"/>
    <w:rsid w:val="00D9078E"/>
    <w:rsid w:val="00DE5F0C"/>
    <w:rsid w:val="00E17ECE"/>
    <w:rsid w:val="00E75606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bi.be/bours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kinnen@wbi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.emb-japan.go.jp/itpr_en/study_stud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bi.be/fr/services/service/obtenir-bourse-specialisation-letranger-wb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bi@wbi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walloniabrussels.be" TargetMode="External"/><Relationship Id="rId4" Type="http://schemas.openxmlformats.org/officeDocument/2006/relationships/hyperlink" Target="http://www.wb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BC32-9F67-4C98-BB22-0E193408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ems</cp:lastModifiedBy>
  <cp:revision>2</cp:revision>
  <cp:lastPrinted>2018-02-16T14:23:00Z</cp:lastPrinted>
  <dcterms:created xsi:type="dcterms:W3CDTF">2018-05-17T14:31:00Z</dcterms:created>
  <dcterms:modified xsi:type="dcterms:W3CDTF">2018-05-17T14:31:00Z</dcterms:modified>
</cp:coreProperties>
</file>